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2FF8" w14:textId="439C3940" w:rsidR="004536CE" w:rsidRPr="009F5F79" w:rsidRDefault="009F5F79" w:rsidP="004536CE">
      <w:pPr>
        <w:spacing w:after="0" w:line="240" w:lineRule="atLeast"/>
        <w:jc w:val="center"/>
        <w:rPr>
          <w:b/>
          <w:bCs/>
          <w:sz w:val="40"/>
          <w:szCs w:val="40"/>
        </w:rPr>
      </w:pPr>
      <w:bookmarkStart w:id="0" w:name="_GoBack"/>
      <w:r w:rsidRPr="009F5F79">
        <w:rPr>
          <w:b/>
          <w:bCs/>
          <w:sz w:val="40"/>
          <w:szCs w:val="40"/>
        </w:rPr>
        <w:t>Sever psy přitahuje, zatímco jih je odpuzuje</w:t>
      </w:r>
    </w:p>
    <w:p w14:paraId="4DF0E4B6" w14:textId="77777777" w:rsidR="009F5F79" w:rsidRDefault="009F5F79" w:rsidP="009F5F79">
      <w:pPr>
        <w:spacing w:after="0" w:line="240" w:lineRule="atLeast"/>
        <w:jc w:val="center"/>
        <w:rPr>
          <w:b/>
          <w:bCs/>
          <w:sz w:val="24"/>
          <w:szCs w:val="24"/>
        </w:rPr>
      </w:pPr>
    </w:p>
    <w:p w14:paraId="132C374F" w14:textId="7210629D" w:rsidR="009F5F79" w:rsidRDefault="009F5F79" w:rsidP="009F5F79">
      <w:pPr>
        <w:spacing w:after="0" w:line="240" w:lineRule="atLeast"/>
        <w:rPr>
          <w:b/>
          <w:bCs/>
          <w:sz w:val="24"/>
          <w:szCs w:val="24"/>
        </w:rPr>
      </w:pPr>
      <w:r w:rsidRPr="009F5F79">
        <w:rPr>
          <w:b/>
          <w:bCs/>
          <w:sz w:val="24"/>
          <w:szCs w:val="24"/>
        </w:rPr>
        <w:t>Praha 1. února 2021 - Vědci Fakulty lesnické a dřevařské ČZU dalším výzkumem potvrdili, že stranovou preferenci psů ovlivňuje magnetické pole. Prokázaly to výsledky</w:t>
      </w:r>
      <w:r w:rsidRPr="009F5F79">
        <w:rPr>
          <w:sz w:val="24"/>
          <w:szCs w:val="24"/>
        </w:rPr>
        <w:t xml:space="preserve"> </w:t>
      </w:r>
      <w:r w:rsidRPr="009F5F79">
        <w:rPr>
          <w:b/>
          <w:sz w:val="24"/>
          <w:szCs w:val="24"/>
        </w:rPr>
        <w:t>v laboratorních podmínkách velké elektromagnetické cívky</w:t>
      </w:r>
      <w:r w:rsidRPr="009F5F79">
        <w:rPr>
          <w:b/>
          <w:bCs/>
          <w:sz w:val="24"/>
          <w:szCs w:val="24"/>
        </w:rPr>
        <w:t>. Odborníci svým výzkumem navázali na výsledky studie směrové preference u psů z roku 2017.</w:t>
      </w:r>
    </w:p>
    <w:p w14:paraId="79A41EE9" w14:textId="77777777" w:rsidR="004536CE" w:rsidRPr="009F5F79" w:rsidRDefault="004536CE" w:rsidP="009F5F79">
      <w:pPr>
        <w:spacing w:after="0" w:line="240" w:lineRule="atLeast"/>
        <w:rPr>
          <w:b/>
          <w:bCs/>
          <w:sz w:val="24"/>
          <w:szCs w:val="24"/>
        </w:rPr>
      </w:pPr>
    </w:p>
    <w:p w14:paraId="54C87F45" w14:textId="77777777" w:rsidR="00CF3A56" w:rsidRDefault="009F5F79" w:rsidP="004536CE">
      <w:pPr>
        <w:spacing w:before="120" w:line="240" w:lineRule="auto"/>
      </w:pPr>
      <w:r>
        <w:t xml:space="preserve">Mnozí z nás mají tu zkušenost – vyjedeme po schodech do patra obchodního domu a automaticky zahneme doprava, abychom zjistili, že jsme zbytečně udělali celý okruh mezi nákupními regály, než jsme došli ke schodům do vyššího patra, kam jsme chtěli, a které jsou vlastně nalevo, hned vedle schodů, kterými jsme sem vyjeli. Naši preferenci točit se doprava, tady šikovně využili architekti, aby nás v obchodním domě co nejdéle pozdrželi. I psi mají individuální tendenci zatáčet jedním směrem – buď doprava nebo doleva a někteří jsou v tomto ohledu nevyhranění. V roce 2017 vědci z České zemědělské univerzity v Praze a z Univerzity Duisburg-Essenu publikovali výsledky studia směrové preference u psů, kteří měli možnost volit mezi dvěma miskami s pamlsky, umístěnými v úhlu 90°od sebe. Přitom se ukázalo, že jinak vyhraněná směrová preference psa je narušena v případě, že pes volí mezi miskou umístěnou na sever a jinou, která je od něj na východ nebo na západ. Sever přitahuje. </w:t>
      </w:r>
    </w:p>
    <w:p w14:paraId="3C12FB25" w14:textId="77777777" w:rsidR="00CF3A56" w:rsidRDefault="009F5F79" w:rsidP="004536CE">
      <w:pPr>
        <w:spacing w:before="120" w:line="240" w:lineRule="auto"/>
      </w:pPr>
      <w:r>
        <w:t>„</w:t>
      </w:r>
      <w:r>
        <w:rPr>
          <w:i/>
        </w:rPr>
        <w:t xml:space="preserve">Aby se ověřilo, že otáčení psa vedle individuální stranové preference (tzv. laterality) skutečně ovlivňuje také magnetické pole, bylo nutné dané chování psů zkoumat za kontrolovaných laboratorních podmínek,“ </w:t>
      </w:r>
      <w:r>
        <w:t xml:space="preserve">objasňuje profesor Hynek Burda z Fakulty lesnické a dřevařské ČZU v Praze. Vědci z České zemědělské univerzity zopakovali pokus v laboratorních podmínkách velké elektromagnetické cívky, kde je možno magnetického pole posunout podle potřeb metodiky experimentu. Uměle magnetický sever pootočili o 90° ve směru hodinových ručiček. Testovali 23 psů v přirozeném a uměle posunutém magnetickém poli po dobu několika měsíců. Psi stejně jako v prvním experimentu v roce 2017 volili mezi dvěma identickými miskami se stejnou potravou, které byly umístěny nalevo a napravo od psa a byly otáčeny tak, aby jejich umístění vystřídalo postupně všechny světové strany. </w:t>
      </w:r>
    </w:p>
    <w:p w14:paraId="3CDEF277" w14:textId="2AC754F5" w:rsidR="004536CE" w:rsidRDefault="009F5F79" w:rsidP="004536CE">
      <w:pPr>
        <w:spacing w:before="120" w:line="240" w:lineRule="auto"/>
      </w:pPr>
      <w:r>
        <w:t>„</w:t>
      </w:r>
      <w:r>
        <w:rPr>
          <w:i/>
        </w:rPr>
        <w:t>Výsledky ukázaly, že „tah severu“ ovlivňuje laterální chování psů i v uměle posunutém magnetickém poli. Tento poznatek je ale komplexnější, než by se zdálo</w:t>
      </w:r>
      <w:r>
        <w:t xml:space="preserve">,“ vysvětluje inženýrka Jana Adámková z Fakulty lesnické a dřevařské ČZU v Praze. Zajímavým zjištěním taktéž bylo, že upřednostnění otáčení praváků (ve směru hodinových ručiček), je výraznější u kombinace umístění misek na jih a západ. Naopak psi leváci upřednostňují otáčení (v protisměru hodinových ručiček) u kombinace misek umístěných na jih a východ. Z tohoto důvodu jsou misky umístěné na jih vybírány coby první méně často. </w:t>
      </w:r>
      <w:r w:rsidR="00CF3A56">
        <w:t xml:space="preserve"> </w:t>
      </w:r>
    </w:p>
    <w:p w14:paraId="00B44F58" w14:textId="6ACFB1A5" w:rsidR="009F5F79" w:rsidRDefault="009F5F79" w:rsidP="004536CE">
      <w:pPr>
        <w:spacing w:before="120" w:line="240" w:lineRule="auto"/>
      </w:pPr>
      <w:r>
        <w:t xml:space="preserve">Nenáhodnost tohoto chování přináší další důkaz o schopnosti psů vnímat magnetické pole Země a zapadá do „magnetického“ smyslu zvířat neboli </w:t>
      </w:r>
      <w:proofErr w:type="spellStart"/>
      <w:r>
        <w:t>magnetorecepce</w:t>
      </w:r>
      <w:proofErr w:type="spellEnd"/>
      <w:r>
        <w:t>.</w:t>
      </w:r>
    </w:p>
    <w:p w14:paraId="2054A210" w14:textId="77777777" w:rsidR="009F5F79" w:rsidRDefault="009F5F79" w:rsidP="004536CE">
      <w:pPr>
        <w:spacing w:before="120" w:line="240" w:lineRule="auto"/>
      </w:pPr>
      <w:r>
        <w:t>Práce byla nyní publikována v odborném časopise PLOS ONE 28.1.2021</w:t>
      </w:r>
    </w:p>
    <w:p w14:paraId="69D9F10A" w14:textId="77777777" w:rsidR="009F5F79" w:rsidRDefault="009F5F79" w:rsidP="009F5F79">
      <w:pPr>
        <w:spacing w:after="0" w:line="240" w:lineRule="atLeast"/>
        <w:ind w:firstLine="708"/>
      </w:pPr>
    </w:p>
    <w:p w14:paraId="6900FEEF" w14:textId="1404CC60" w:rsidR="009F5F79" w:rsidRDefault="009F5F79" w:rsidP="009F5F79">
      <w:pPr>
        <w:autoSpaceDE w:val="0"/>
        <w:autoSpaceDN w:val="0"/>
        <w:spacing w:line="240" w:lineRule="auto"/>
        <w:rPr>
          <w:color w:val="000000"/>
          <w:lang w:val="en-US"/>
        </w:rPr>
      </w:pPr>
      <w:proofErr w:type="spellStart"/>
      <w:r>
        <w:rPr>
          <w:lang w:val="en-US"/>
        </w:rPr>
        <w:t>Adámková</w:t>
      </w:r>
      <w:proofErr w:type="spellEnd"/>
      <w:r>
        <w:rPr>
          <w:lang w:val="en-US"/>
        </w:rPr>
        <w:t xml:space="preserve"> J., </w:t>
      </w:r>
      <w:proofErr w:type="spellStart"/>
      <w:r>
        <w:rPr>
          <w:lang w:val="en-US"/>
        </w:rPr>
        <w:t>Benediktová</w:t>
      </w:r>
      <w:proofErr w:type="spellEnd"/>
      <w:r>
        <w:rPr>
          <w:lang w:val="en-US"/>
        </w:rPr>
        <w:t xml:space="preserve"> K., Svoboda J., </w:t>
      </w:r>
      <w:proofErr w:type="spellStart"/>
      <w:r>
        <w:rPr>
          <w:lang w:val="en-US"/>
        </w:rPr>
        <w:t>Bartoš</w:t>
      </w:r>
      <w:proofErr w:type="spellEnd"/>
      <w:r>
        <w:rPr>
          <w:lang w:val="en-US"/>
        </w:rPr>
        <w:t xml:space="preserve"> L., </w:t>
      </w:r>
      <w:proofErr w:type="spellStart"/>
      <w:r>
        <w:rPr>
          <w:lang w:val="en-US"/>
        </w:rPr>
        <w:t>Vynikalová</w:t>
      </w:r>
      <w:proofErr w:type="spellEnd"/>
      <w:r>
        <w:rPr>
          <w:lang w:val="en-US"/>
        </w:rPr>
        <w:t xml:space="preserve"> L., </w:t>
      </w:r>
      <w:proofErr w:type="spellStart"/>
      <w:r>
        <w:rPr>
          <w:lang w:val="en-US"/>
        </w:rPr>
        <w:t>Nováková</w:t>
      </w:r>
      <w:proofErr w:type="spellEnd"/>
      <w:r>
        <w:rPr>
          <w:lang w:val="en-US"/>
        </w:rPr>
        <w:t xml:space="preserve"> P., Hart V., Painter M.S., </w:t>
      </w:r>
      <w:proofErr w:type="spellStart"/>
      <w:r>
        <w:rPr>
          <w:lang w:val="en-US"/>
        </w:rPr>
        <w:t>Burda</w:t>
      </w:r>
      <w:proofErr w:type="spellEnd"/>
      <w:r>
        <w:rPr>
          <w:lang w:val="en-US"/>
        </w:rPr>
        <w:t xml:space="preserve"> H. (2021): Turning preference in dogs: North attracts while south repels. </w:t>
      </w:r>
      <w:proofErr w:type="spellStart"/>
      <w:r>
        <w:rPr>
          <w:lang w:val="en-US"/>
        </w:rPr>
        <w:t>PLoS</w:t>
      </w:r>
      <w:proofErr w:type="spellEnd"/>
      <w:r>
        <w:rPr>
          <w:lang w:val="en-US"/>
        </w:rPr>
        <w:t xml:space="preserve"> ONE </w:t>
      </w:r>
      <w:r>
        <w:rPr>
          <w:color w:val="000000"/>
          <w:lang w:val="en-US"/>
        </w:rPr>
        <w:t xml:space="preserve">16(1): e0245940. </w:t>
      </w:r>
      <w:hyperlink r:id="rId9" w:history="1">
        <w:r>
          <w:rPr>
            <w:rStyle w:val="Hypertextovodkaz"/>
            <w:lang w:val="en-US"/>
          </w:rPr>
          <w:t>https://doi.org/10.1371/journal.pone.0245940</w:t>
        </w:r>
      </w:hyperlink>
    </w:p>
    <w:bookmarkEnd w:id="0"/>
    <w:p w14:paraId="6641075D" w14:textId="77777777" w:rsidR="009F5F79" w:rsidRDefault="009F5F79" w:rsidP="009F5F79">
      <w:pPr>
        <w:autoSpaceDE w:val="0"/>
        <w:autoSpaceDN w:val="0"/>
        <w:spacing w:line="240" w:lineRule="auto"/>
        <w:rPr>
          <w:color w:val="2C5CFB"/>
          <w:lang w:val="en-US"/>
        </w:rPr>
      </w:pPr>
    </w:p>
    <w:p w14:paraId="179F51F4" w14:textId="77777777" w:rsidR="004536CE" w:rsidRDefault="004536CE" w:rsidP="009F5F79">
      <w:pPr>
        <w:autoSpaceDE w:val="0"/>
        <w:autoSpaceDN w:val="0"/>
        <w:spacing w:line="240" w:lineRule="auto"/>
      </w:pPr>
    </w:p>
    <w:p w14:paraId="67AA69C8" w14:textId="77777777" w:rsidR="004536CE" w:rsidRDefault="004536CE" w:rsidP="009F5F79">
      <w:pPr>
        <w:autoSpaceDE w:val="0"/>
        <w:autoSpaceDN w:val="0"/>
        <w:spacing w:line="240" w:lineRule="auto"/>
      </w:pPr>
    </w:p>
    <w:p w14:paraId="67C4743E" w14:textId="186F2D15" w:rsidR="009F5F79" w:rsidRDefault="00CF3A56" w:rsidP="009F5F79">
      <w:pPr>
        <w:autoSpaceDE w:val="0"/>
        <w:autoSpaceDN w:val="0"/>
        <w:spacing w:line="240" w:lineRule="auto"/>
      </w:pPr>
      <w:r>
        <w:t>Vědecký tým FLD ČZU</w:t>
      </w:r>
      <w:r w:rsidR="009F5F79">
        <w:t>:</w:t>
      </w:r>
    </w:p>
    <w:p w14:paraId="76AC5938" w14:textId="77777777" w:rsidR="009F5F79" w:rsidRDefault="009F5F79" w:rsidP="009F5F79">
      <w:pPr>
        <w:autoSpaceDE w:val="0"/>
        <w:autoSpaceDN w:val="0"/>
        <w:spacing w:line="240" w:lineRule="auto"/>
        <w:rPr>
          <w:color w:val="2C5CFB"/>
          <w:lang w:val="en-US"/>
        </w:rPr>
      </w:pPr>
      <w:r>
        <w:t xml:space="preserve">Ing. </w:t>
      </w:r>
      <w:proofErr w:type="spellStart"/>
      <w:r>
        <w:t>MgA</w:t>
      </w:r>
      <w:proofErr w:type="spellEnd"/>
      <w:r>
        <w:t>. Jana Adámková e-mail:</w:t>
      </w:r>
      <w:r>
        <w:rPr>
          <w:color w:val="2C5CFB"/>
          <w:lang w:val="en-US"/>
        </w:rPr>
        <w:t xml:space="preserve"> </w:t>
      </w:r>
      <w:hyperlink r:id="rId10" w:history="1">
        <w:r>
          <w:rPr>
            <w:rStyle w:val="Hypertextovodkaz"/>
            <w:lang w:val="en-US"/>
          </w:rPr>
          <w:t>adamkovaj@fld.czu.cz</w:t>
        </w:r>
      </w:hyperlink>
    </w:p>
    <w:p w14:paraId="396B6539" w14:textId="5B4D2557" w:rsidR="00BF641A" w:rsidRPr="004536CE" w:rsidRDefault="009F5F79" w:rsidP="004536CE">
      <w:pPr>
        <w:autoSpaceDE w:val="0"/>
        <w:autoSpaceDN w:val="0"/>
        <w:spacing w:line="240" w:lineRule="auto"/>
        <w:rPr>
          <w:color w:val="2C5CFB"/>
          <w:lang w:val="en-US"/>
        </w:rPr>
      </w:pPr>
      <w:r>
        <w:t>prof. RNDr. Hynek Burda, CSc. e-mail:</w:t>
      </w:r>
      <w:r>
        <w:rPr>
          <w:color w:val="2C5CFB"/>
          <w:lang w:val="en-US"/>
        </w:rPr>
        <w:t xml:space="preserve"> </w:t>
      </w:r>
      <w:hyperlink r:id="rId11" w:history="1">
        <w:r>
          <w:rPr>
            <w:rStyle w:val="Hypertextovodkaz"/>
            <w:lang w:val="en-US"/>
          </w:rPr>
          <w:t>burda@fld.czu.cz</w:t>
        </w:r>
      </w:hyperlink>
    </w:p>
    <w:p w14:paraId="68171219" w14:textId="77777777" w:rsidR="00BF641A" w:rsidRDefault="00BF641A" w:rsidP="00BF641A">
      <w:pPr>
        <w:jc w:val="both"/>
      </w:pPr>
    </w:p>
    <w:p w14:paraId="27AB6694" w14:textId="77777777" w:rsidR="00CF3A56" w:rsidRDefault="00CF3A56" w:rsidP="00BF641A">
      <w:pPr>
        <w:jc w:val="both"/>
      </w:pPr>
    </w:p>
    <w:p w14:paraId="6EBE070C" w14:textId="77777777" w:rsidR="00CF3A56" w:rsidRDefault="00CF3A56" w:rsidP="00BF641A">
      <w:pPr>
        <w:jc w:val="both"/>
      </w:pPr>
    </w:p>
    <w:p w14:paraId="14B0F489" w14:textId="77777777" w:rsidR="00CF3A56" w:rsidRDefault="00CF3A56" w:rsidP="00BF641A">
      <w:pPr>
        <w:jc w:val="both"/>
      </w:pPr>
    </w:p>
    <w:p w14:paraId="538E2A9A" w14:textId="77777777" w:rsidR="00CF3A56" w:rsidRDefault="00CF3A56" w:rsidP="00BF641A">
      <w:pPr>
        <w:jc w:val="both"/>
      </w:pPr>
    </w:p>
    <w:p w14:paraId="330C97ED" w14:textId="77777777" w:rsidR="00CF3A56" w:rsidRDefault="00CF3A56" w:rsidP="00BF641A">
      <w:pPr>
        <w:jc w:val="both"/>
      </w:pPr>
    </w:p>
    <w:p w14:paraId="2E67B4FB" w14:textId="77777777" w:rsidR="00CF3A56" w:rsidRDefault="00CF3A56" w:rsidP="00BF641A">
      <w:pPr>
        <w:jc w:val="both"/>
      </w:pPr>
    </w:p>
    <w:p w14:paraId="41389693" w14:textId="77777777" w:rsidR="00CF3A56" w:rsidRDefault="00CF3A56" w:rsidP="00BF641A">
      <w:pPr>
        <w:jc w:val="both"/>
      </w:pPr>
    </w:p>
    <w:p w14:paraId="082E97E6" w14:textId="77777777" w:rsidR="00CF3A56" w:rsidRDefault="00CF3A56" w:rsidP="00BF641A">
      <w:pPr>
        <w:jc w:val="both"/>
      </w:pPr>
    </w:p>
    <w:p w14:paraId="798AB114" w14:textId="77777777" w:rsidR="00CF3A56" w:rsidRDefault="00CF3A56" w:rsidP="00BF641A">
      <w:pPr>
        <w:jc w:val="both"/>
      </w:pPr>
    </w:p>
    <w:p w14:paraId="32519E38" w14:textId="77777777" w:rsidR="00CF3A56" w:rsidRDefault="00CF3A56" w:rsidP="00BF641A">
      <w:pPr>
        <w:jc w:val="both"/>
      </w:pPr>
    </w:p>
    <w:p w14:paraId="3E55D546" w14:textId="77777777" w:rsidR="00CF3A56" w:rsidRDefault="00CF3A56" w:rsidP="00BF641A">
      <w:pPr>
        <w:jc w:val="both"/>
      </w:pPr>
    </w:p>
    <w:p w14:paraId="22AE3FCF" w14:textId="77777777" w:rsidR="00CF3A56" w:rsidRDefault="00CF3A56" w:rsidP="00BF641A">
      <w:pPr>
        <w:jc w:val="both"/>
      </w:pPr>
    </w:p>
    <w:p w14:paraId="5BD29DAB" w14:textId="77777777" w:rsidR="00CF3A56" w:rsidRDefault="00CF3A56" w:rsidP="00BF641A">
      <w:pPr>
        <w:jc w:val="both"/>
      </w:pPr>
    </w:p>
    <w:p w14:paraId="68CC5900" w14:textId="77777777" w:rsidR="00CF3A56" w:rsidRDefault="00CF3A56" w:rsidP="00BF641A">
      <w:pPr>
        <w:jc w:val="both"/>
      </w:pPr>
    </w:p>
    <w:p w14:paraId="680BD38C" w14:textId="77777777" w:rsidR="00CF3A56" w:rsidRDefault="00CF3A56" w:rsidP="00BF641A">
      <w:pPr>
        <w:jc w:val="both"/>
      </w:pPr>
    </w:p>
    <w:p w14:paraId="581E337B" w14:textId="027F4878" w:rsidR="00BF641A" w:rsidRPr="00BF641A" w:rsidRDefault="00BF641A" w:rsidP="00BF641A">
      <w:pPr>
        <w:jc w:val="both"/>
      </w:pPr>
      <w:r>
        <w:t>--------------------------------------------------------------------------------------------------------------------------------------</w:t>
      </w:r>
    </w:p>
    <w:sectPr w:rsidR="00BF641A" w:rsidRPr="00BF641A" w:rsidSect="004536CE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97CE" w14:textId="77777777" w:rsidR="00631471" w:rsidRDefault="00631471" w:rsidP="00BF641A">
      <w:pPr>
        <w:spacing w:after="0" w:line="240" w:lineRule="auto"/>
      </w:pPr>
      <w:r>
        <w:separator/>
      </w:r>
    </w:p>
  </w:endnote>
  <w:endnote w:type="continuationSeparator" w:id="0">
    <w:p w14:paraId="4777EC73" w14:textId="77777777" w:rsidR="00631471" w:rsidRDefault="00631471" w:rsidP="00BF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94C2" w14:textId="77777777" w:rsidR="00BF641A" w:rsidRDefault="00BF641A" w:rsidP="00BF641A">
    <w:pPr>
      <w:spacing w:after="240" w:line="276" w:lineRule="auto"/>
      <w:jc w:val="both"/>
      <w:rPr>
        <w:rFonts w:cs="Calibri"/>
        <w:b/>
        <w:lang w:eastAsia="ar-SA"/>
      </w:rPr>
    </w:pPr>
    <w:r>
      <w:rPr>
        <w:rFonts w:cs="Calibri"/>
        <w:b/>
        <w:lang w:eastAsia="ar-SA"/>
      </w:rPr>
      <w:t xml:space="preserve">Česká zemědělská univerzita v Praze </w:t>
    </w:r>
  </w:p>
  <w:p w14:paraId="37F4B869" w14:textId="77777777" w:rsidR="00BF641A" w:rsidRDefault="00BF641A" w:rsidP="00BF641A">
    <w:pPr>
      <w:spacing w:after="240" w:line="276" w:lineRule="auto"/>
      <w:jc w:val="both"/>
      <w:rPr>
        <w:rFonts w:cstheme="minorHAnsi"/>
      </w:rPr>
    </w:pPr>
    <w:r>
      <w:rPr>
        <w:sz w:val="20"/>
        <w:szCs w:val="20"/>
        <w:lang w:eastAsia="ar-SA"/>
      </w:rPr>
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</w:r>
    <w:proofErr w:type="spellStart"/>
    <w:r>
      <w:rPr>
        <w:sz w:val="20"/>
        <w:szCs w:val="20"/>
        <w:lang w:eastAsia="ar-SA"/>
      </w:rPr>
      <w:t>Metric</w:t>
    </w:r>
    <w:proofErr w:type="spellEnd"/>
    <w:r>
      <w:rPr>
        <w:sz w:val="20"/>
        <w:szCs w:val="20"/>
        <w:lang w:eastAsia="ar-SA"/>
      </w:rPr>
      <w:t xml:space="preserve"> </w:t>
    </w:r>
    <w:proofErr w:type="spellStart"/>
    <w:r>
      <w:rPr>
        <w:sz w:val="20"/>
        <w:szCs w:val="20"/>
        <w:lang w:eastAsia="ar-SA"/>
      </w:rPr>
      <w:t>World</w:t>
    </w:r>
    <w:proofErr w:type="spellEnd"/>
    <w:r>
      <w:rPr>
        <w:sz w:val="20"/>
        <w:szCs w:val="20"/>
        <w:lang w:eastAsia="ar-SA"/>
      </w:rPr>
      <w:t xml:space="preserve"> University </w:t>
    </w:r>
    <w:proofErr w:type="spellStart"/>
    <w:r>
      <w:rPr>
        <w:sz w:val="20"/>
        <w:szCs w:val="20"/>
        <w:lang w:eastAsia="ar-SA"/>
      </w:rPr>
      <w:t>Rankings</w:t>
    </w:r>
    <w:proofErr w:type="spellEnd"/>
    <w:r>
      <w:rPr>
        <w:sz w:val="20"/>
        <w:szCs w:val="20"/>
        <w:lang w:eastAsia="ar-SA"/>
      </w:rPr>
      <w:t xml:space="preserve">. V žebříčku </w:t>
    </w:r>
    <w:proofErr w:type="spellStart"/>
    <w:r>
      <w:rPr>
        <w:sz w:val="20"/>
        <w:szCs w:val="20"/>
        <w:lang w:eastAsia="ar-SA"/>
      </w:rPr>
      <w:t>Academic</w:t>
    </w:r>
    <w:proofErr w:type="spellEnd"/>
    <w:r>
      <w:rPr>
        <w:sz w:val="20"/>
        <w:szCs w:val="20"/>
        <w:lang w:eastAsia="ar-SA"/>
      </w:rPr>
      <w:t xml:space="preserve"> </w:t>
    </w:r>
    <w:proofErr w:type="spellStart"/>
    <w:r>
      <w:rPr>
        <w:sz w:val="20"/>
        <w:szCs w:val="20"/>
        <w:lang w:eastAsia="ar-SA"/>
      </w:rPr>
      <w:t>Ranking</w:t>
    </w:r>
    <w:proofErr w:type="spellEnd"/>
    <w:r>
      <w:rPr>
        <w:sz w:val="20"/>
        <w:szCs w:val="20"/>
        <w:lang w:eastAsia="ar-SA"/>
      </w:rPr>
      <w:t xml:space="preserve"> </w:t>
    </w:r>
    <w:proofErr w:type="spellStart"/>
    <w:r>
      <w:rPr>
        <w:sz w:val="20"/>
        <w:szCs w:val="20"/>
        <w:lang w:eastAsia="ar-SA"/>
      </w:rPr>
      <w:t>of</w:t>
    </w:r>
    <w:proofErr w:type="spellEnd"/>
    <w:r>
      <w:rPr>
        <w:sz w:val="20"/>
        <w:szCs w:val="20"/>
        <w:lang w:eastAsia="ar-SA"/>
      </w:rPr>
      <w:t xml:space="preserve"> </w:t>
    </w:r>
    <w:proofErr w:type="spellStart"/>
    <w:r>
      <w:rPr>
        <w:sz w:val="20"/>
        <w:szCs w:val="20"/>
        <w:lang w:eastAsia="ar-SA"/>
      </w:rPr>
      <w:t>World</w:t>
    </w:r>
    <w:proofErr w:type="spellEnd"/>
    <w:r>
      <w:rPr>
        <w:sz w:val="20"/>
        <w:szCs w:val="20"/>
        <w:lang w:eastAsia="ar-SA"/>
      </w:rPr>
      <w:t xml:space="preserve"> </w:t>
    </w:r>
    <w:proofErr w:type="spellStart"/>
    <w:r>
      <w:rPr>
        <w:sz w:val="20"/>
        <w:szCs w:val="20"/>
        <w:lang w:eastAsia="ar-SA"/>
      </w:rPr>
      <w:t>Universities</w:t>
    </w:r>
    <w:proofErr w:type="spellEnd"/>
    <w:r>
      <w:rPr>
        <w:sz w:val="20"/>
        <w:szCs w:val="20"/>
        <w:lang w:eastAsia="ar-SA"/>
      </w:rPr>
      <w:t xml:space="preserve"> (tzv. Šanghajský žebříček) se v roce 2020 umístila na 801.– 900. místě na světě a na 5. místě z hodnocených univerzit v ČR.</w:t>
    </w:r>
  </w:p>
  <w:p w14:paraId="42535721" w14:textId="77777777" w:rsidR="00BF641A" w:rsidRDefault="00BF641A" w:rsidP="00BF641A">
    <w:pPr>
      <w:pBdr>
        <w:bottom w:val="single" w:sz="6" w:space="1" w:color="auto"/>
      </w:pBdr>
      <w:rPr>
        <w:b/>
      </w:rPr>
    </w:pPr>
    <w:r>
      <w:rPr>
        <w:b/>
      </w:rPr>
      <w:t>Kontakt pro novináře:</w:t>
    </w:r>
    <w:r>
      <w:rPr>
        <w:b/>
      </w:rPr>
      <w:tab/>
    </w:r>
  </w:p>
  <w:p w14:paraId="124275AB" w14:textId="77777777" w:rsidR="00BF641A" w:rsidRDefault="00BF641A" w:rsidP="00BF641A">
    <w:pPr>
      <w:pStyle w:val="Zpat"/>
    </w:pPr>
    <w:r>
      <w:rPr>
        <w:rStyle w:val="Hypertextovodkaz"/>
        <w:sz w:val="20"/>
        <w:szCs w:val="20"/>
      </w:rPr>
      <w:t>K</w:t>
    </w:r>
    <w:r w:rsidRPr="001E249A">
      <w:rPr>
        <w:rStyle w:val="Hypertextovodkaz"/>
        <w:sz w:val="20"/>
        <w:szCs w:val="20"/>
      </w:rPr>
      <w:t xml:space="preserve">arla Mráčková, tisková mluvčí ČZU, +420 603 203 703; </w:t>
    </w:r>
    <w:hyperlink r:id="rId1" w:history="1">
      <w:r w:rsidRPr="00BF4F71">
        <w:rPr>
          <w:rStyle w:val="Hypertextovodkaz"/>
          <w:sz w:val="20"/>
          <w:szCs w:val="20"/>
        </w:rPr>
        <w:t>mrackovak@rektorat.czu.cz</w:t>
      </w:r>
    </w:hyperlink>
    <w:r>
      <w:rPr>
        <w:rStyle w:val="Hypertextovodkaz"/>
        <w:sz w:val="20"/>
        <w:szCs w:val="20"/>
      </w:rPr>
      <w:t xml:space="preserve"> </w:t>
    </w:r>
    <w:r>
      <w:rPr>
        <w:rStyle w:val="Hypertextovodkaz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A522" w14:textId="77777777" w:rsidR="00631471" w:rsidRDefault="00631471" w:rsidP="00BF641A">
      <w:pPr>
        <w:spacing w:after="0" w:line="240" w:lineRule="auto"/>
      </w:pPr>
      <w:r>
        <w:separator/>
      </w:r>
    </w:p>
  </w:footnote>
  <w:footnote w:type="continuationSeparator" w:id="0">
    <w:p w14:paraId="6C550331" w14:textId="77777777" w:rsidR="00631471" w:rsidRDefault="00631471" w:rsidP="00BF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B3AAB" w14:textId="77777777" w:rsidR="00BF641A" w:rsidRDefault="00BF641A" w:rsidP="00BF641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14:paraId="4CD68DD5" w14:textId="77777777" w:rsidR="00BF641A" w:rsidRDefault="00BF641A" w:rsidP="00BF641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4F90E5E3" wp14:editId="04D020D7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14:paraId="5E0C0ACE" w14:textId="77777777" w:rsidR="00BF641A" w:rsidRPr="00ED5DD4" w:rsidRDefault="00BF641A" w:rsidP="00BF641A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0F07664B" w14:textId="77777777" w:rsidR="00BF641A" w:rsidRDefault="00BF64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D5F3" w14:textId="77777777" w:rsidR="004536CE" w:rsidRDefault="004536CE" w:rsidP="004536CE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61312" behindDoc="0" locked="0" layoutInCell="1" allowOverlap="1" wp14:anchorId="4D0D95F9" wp14:editId="1D3F4528">
          <wp:simplePos x="0" y="0"/>
          <wp:positionH relativeFrom="column">
            <wp:posOffset>4538345</wp:posOffset>
          </wp:positionH>
          <wp:positionV relativeFrom="paragraph">
            <wp:posOffset>88900</wp:posOffset>
          </wp:positionV>
          <wp:extent cx="1158875" cy="336550"/>
          <wp:effectExtent l="0" t="0" r="3175" b="0"/>
          <wp:wrapSquare wrapText="bothSides"/>
          <wp:docPr id="1" name="Obrázek 1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  <w:t xml:space="preserve">    </w:t>
    </w:r>
  </w:p>
  <w:p w14:paraId="3E45AF88" w14:textId="77777777" w:rsidR="004536CE" w:rsidRPr="00ED5DD4" w:rsidRDefault="004536CE" w:rsidP="004536CE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26BCFBF" w14:textId="77777777" w:rsidR="004536CE" w:rsidRDefault="004536CE" w:rsidP="004536CE">
    <w:pPr>
      <w:pStyle w:val="Zhlav"/>
    </w:pPr>
  </w:p>
  <w:p w14:paraId="0E0138FB" w14:textId="77777777" w:rsidR="004536CE" w:rsidRDefault="004536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1A"/>
    <w:rsid w:val="004536CE"/>
    <w:rsid w:val="00631471"/>
    <w:rsid w:val="009F5F79"/>
    <w:rsid w:val="00BF641A"/>
    <w:rsid w:val="00C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A500F"/>
  <w15:chartTrackingRefBased/>
  <w15:docId w15:val="{FD17A0AF-E232-49B7-A7B6-DEB563D0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F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F641A"/>
  </w:style>
  <w:style w:type="paragraph" w:styleId="Zpat">
    <w:name w:val="footer"/>
    <w:basedOn w:val="Normln"/>
    <w:link w:val="ZpatChar"/>
    <w:uiPriority w:val="99"/>
    <w:unhideWhenUsed/>
    <w:rsid w:val="00BF6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1A"/>
  </w:style>
  <w:style w:type="character" w:styleId="Hypertextovodkaz">
    <w:name w:val="Hyperlink"/>
    <w:rsid w:val="00BF6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rda@fld.czu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amkovaj@fld.czu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371/journal.pone.024594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3EC24-E403-496B-8B92-985C8C889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ECB6C-4DF1-41D4-BF21-FCC21501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1D7EB-4771-47A5-93FB-2473A7CF47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a4647f-a224-445a-b14b-39d0c1e720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Mráčková Karla-Nikola</dc:creator>
  <cp:keywords/>
  <dc:description/>
  <cp:lastModifiedBy>Mráčková Karla-Nikola</cp:lastModifiedBy>
  <cp:revision>2</cp:revision>
  <dcterms:created xsi:type="dcterms:W3CDTF">2021-02-01T08:38:00Z</dcterms:created>
  <dcterms:modified xsi:type="dcterms:W3CDTF">2021-02-01T08:38:00Z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